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7D42" w14:textId="5FFDB953" w:rsidR="00466553" w:rsidRDefault="0053329A" w:rsidP="009F6EA8">
      <w:pPr>
        <w:pStyle w:val="NoSpacing"/>
        <w:rPr>
          <w:b/>
          <w:bCs/>
          <w:u w:val="single"/>
        </w:rPr>
      </w:pPr>
      <w:r w:rsidRPr="00F45587">
        <w:rPr>
          <w:b/>
          <w:bCs/>
          <w:u w:val="single"/>
        </w:rPr>
        <w:t>Syllabus for 121x – POST SECONDARY OPTIONS COUNSELING</w:t>
      </w:r>
    </w:p>
    <w:p w14:paraId="1582374C" w14:textId="77777777" w:rsidR="00F45587" w:rsidRPr="00F45587" w:rsidRDefault="00F45587" w:rsidP="009F6EA8">
      <w:pPr>
        <w:pStyle w:val="NoSpacing"/>
        <w:rPr>
          <w:b/>
          <w:bCs/>
          <w:u w:val="single"/>
        </w:rPr>
      </w:pPr>
    </w:p>
    <w:p w14:paraId="18686142" w14:textId="77777777" w:rsidR="00F45587" w:rsidRDefault="009F6EA8" w:rsidP="009F6EA8">
      <w:pPr>
        <w:pStyle w:val="NoSpacing"/>
      </w:pPr>
      <w:r w:rsidRPr="00F45587">
        <w:rPr>
          <w:b/>
          <w:bCs/>
          <w:u w:val="single"/>
        </w:rPr>
        <w:t>Description:</w:t>
      </w:r>
      <w:r w:rsidRPr="009F6EA8">
        <w:t> </w:t>
      </w:r>
    </w:p>
    <w:p w14:paraId="64D6AA85" w14:textId="3F902857" w:rsidR="009F6EA8" w:rsidRDefault="009F6EA8" w:rsidP="009F6EA8">
      <w:pPr>
        <w:pStyle w:val="NoSpacing"/>
      </w:pPr>
      <w:r>
        <w:t>FLIC will</w:t>
      </w:r>
      <w:r w:rsidRPr="009F6EA8">
        <w:t xml:space="preserve"> help students with disabilities (SWDs) and their families navigate the transition from high school to postsecondary education and career pathways. </w:t>
      </w:r>
      <w:r>
        <w:t>We</w:t>
      </w:r>
      <w:r w:rsidRPr="009F6EA8">
        <w:t xml:space="preserve"> will cover research on course offerings, career options, academic and vocational training, and the postsecondary opportunities available. </w:t>
      </w:r>
      <w:r>
        <w:t xml:space="preserve">We </w:t>
      </w:r>
      <w:r w:rsidRPr="009F6EA8">
        <w:t>will also provide guidance on college applications, financial aid, and connecting with disability support services.</w:t>
      </w:r>
    </w:p>
    <w:p w14:paraId="629F5A74" w14:textId="77777777" w:rsidR="00F45587" w:rsidRPr="009F6EA8" w:rsidRDefault="00F45587" w:rsidP="009F6EA8">
      <w:pPr>
        <w:pStyle w:val="NoSpacing"/>
      </w:pPr>
    </w:p>
    <w:p w14:paraId="1A58AC8D" w14:textId="51879C4F" w:rsidR="009F6EA8" w:rsidRDefault="009F6EA8" w:rsidP="009F6EA8">
      <w:pPr>
        <w:pStyle w:val="NoSpacing"/>
        <w:rPr>
          <w:b/>
          <w:bCs/>
          <w:u w:val="single"/>
        </w:rPr>
      </w:pPr>
      <w:r w:rsidRPr="00F45587">
        <w:rPr>
          <w:b/>
          <w:bCs/>
          <w:u w:val="single"/>
        </w:rPr>
        <w:t>Service Objectives:</w:t>
      </w:r>
    </w:p>
    <w:p w14:paraId="256DC81B" w14:textId="77777777" w:rsidR="00601012" w:rsidRPr="00F45587" w:rsidRDefault="00601012" w:rsidP="009F6EA8">
      <w:pPr>
        <w:pStyle w:val="NoSpacing"/>
        <w:rPr>
          <w:b/>
          <w:bCs/>
          <w:u w:val="single"/>
        </w:rPr>
      </w:pPr>
    </w:p>
    <w:p w14:paraId="56E056D7" w14:textId="77777777" w:rsidR="009F6EA8" w:rsidRPr="009F6EA8" w:rsidRDefault="009F6EA8" w:rsidP="00F45587">
      <w:pPr>
        <w:pStyle w:val="NoSpacing"/>
        <w:numPr>
          <w:ilvl w:val="0"/>
          <w:numId w:val="15"/>
        </w:numPr>
      </w:pPr>
      <w:r w:rsidRPr="009F6EA8">
        <w:t>Research and explore information on course offerings and career options.</w:t>
      </w:r>
    </w:p>
    <w:p w14:paraId="77706A17" w14:textId="77777777" w:rsidR="009F6EA8" w:rsidRPr="009F6EA8" w:rsidRDefault="009F6EA8" w:rsidP="00F45587">
      <w:pPr>
        <w:pStyle w:val="NoSpacing"/>
        <w:numPr>
          <w:ilvl w:val="0"/>
          <w:numId w:val="15"/>
        </w:numPr>
      </w:pPr>
      <w:r w:rsidRPr="009F6EA8">
        <w:t>Advise on academic curricula, college/vocational training applications, and financial aid processes.</w:t>
      </w:r>
    </w:p>
    <w:p w14:paraId="2EA2FB74" w14:textId="77777777" w:rsidR="009F6EA8" w:rsidRPr="009F6EA8" w:rsidRDefault="009F6EA8" w:rsidP="00F45587">
      <w:pPr>
        <w:pStyle w:val="NoSpacing"/>
        <w:numPr>
          <w:ilvl w:val="0"/>
          <w:numId w:val="15"/>
        </w:numPr>
      </w:pPr>
      <w:r w:rsidRPr="009F6EA8">
        <w:t>Connect to disability support services through state agencies.</w:t>
      </w:r>
    </w:p>
    <w:p w14:paraId="3D9557CC" w14:textId="77777777" w:rsidR="009F6EA8" w:rsidRPr="009F6EA8" w:rsidRDefault="009F6EA8" w:rsidP="00F45587">
      <w:pPr>
        <w:pStyle w:val="NoSpacing"/>
        <w:numPr>
          <w:ilvl w:val="0"/>
          <w:numId w:val="15"/>
        </w:numPr>
      </w:pPr>
      <w:r w:rsidRPr="009F6EA8">
        <w:t>Explore various postsecondary options and identify necessary accommodations.</w:t>
      </w:r>
    </w:p>
    <w:p w14:paraId="255611F7" w14:textId="77777777" w:rsidR="009F6EA8" w:rsidRDefault="009F6EA8" w:rsidP="00F45587">
      <w:pPr>
        <w:pStyle w:val="NoSpacing"/>
        <w:numPr>
          <w:ilvl w:val="0"/>
          <w:numId w:val="15"/>
        </w:numPr>
      </w:pPr>
      <w:r w:rsidRPr="009F6EA8">
        <w:t>Develop individualized strategies for a seamless transition to postsecondary education.</w:t>
      </w:r>
    </w:p>
    <w:p w14:paraId="65C9D240" w14:textId="77777777" w:rsidR="00F45587" w:rsidRPr="009F6EA8" w:rsidRDefault="00F45587" w:rsidP="009F6EA8">
      <w:pPr>
        <w:pStyle w:val="NoSpacing"/>
      </w:pPr>
    </w:p>
    <w:p w14:paraId="71FBF6F0" w14:textId="5F5087B7" w:rsidR="009F6EA8" w:rsidRDefault="009F6EA8" w:rsidP="009F6EA8">
      <w:pPr>
        <w:pStyle w:val="NoSpacing"/>
        <w:rPr>
          <w:b/>
          <w:bCs/>
          <w:u w:val="single"/>
        </w:rPr>
      </w:pPr>
      <w:bookmarkStart w:id="0" w:name="_Hlk188527710"/>
      <w:r w:rsidRPr="00F45587">
        <w:rPr>
          <w:b/>
          <w:bCs/>
          <w:u w:val="single"/>
        </w:rPr>
        <w:t>Services Breakdown</w:t>
      </w:r>
      <w:r w:rsidR="00F45587">
        <w:rPr>
          <w:b/>
          <w:bCs/>
          <w:u w:val="single"/>
        </w:rPr>
        <w:t xml:space="preserve"> – some or all may be covered:</w:t>
      </w:r>
    </w:p>
    <w:p w14:paraId="0374839B" w14:textId="77777777" w:rsidR="00601012" w:rsidRPr="00F45587" w:rsidRDefault="00601012" w:rsidP="009F6EA8">
      <w:pPr>
        <w:pStyle w:val="NoSpacing"/>
        <w:rPr>
          <w:b/>
          <w:bCs/>
          <w:u w:val="single"/>
        </w:rPr>
      </w:pPr>
    </w:p>
    <w:bookmarkEnd w:id="0"/>
    <w:p w14:paraId="6A3D3698" w14:textId="6D4E09C4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Introduction to Transition Planning</w:t>
      </w:r>
    </w:p>
    <w:p w14:paraId="49644427" w14:textId="40DDA9B0" w:rsidR="009F6EA8" w:rsidRPr="009F6EA8" w:rsidRDefault="009F6EA8" w:rsidP="00F45587">
      <w:pPr>
        <w:pStyle w:val="NoSpacing"/>
        <w:numPr>
          <w:ilvl w:val="0"/>
          <w:numId w:val="16"/>
        </w:numPr>
      </w:pPr>
      <w:bookmarkStart w:id="1" w:name="_Hlk188527742"/>
      <w:r w:rsidRPr="009F6EA8">
        <w:t xml:space="preserve">Overview of </w:t>
      </w:r>
      <w:r w:rsidR="00F45587">
        <w:t>services</w:t>
      </w:r>
    </w:p>
    <w:bookmarkEnd w:id="1"/>
    <w:p w14:paraId="26976B54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Importance of transition planning</w:t>
      </w:r>
    </w:p>
    <w:p w14:paraId="19FD4338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Initial assessment of student goals and needs</w:t>
      </w:r>
    </w:p>
    <w:p w14:paraId="24087CAF" w14:textId="6092B2C3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Researching Course Offerings and Career Options</w:t>
      </w:r>
    </w:p>
    <w:p w14:paraId="74A40808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Identifying interests and strengths</w:t>
      </w:r>
    </w:p>
    <w:p w14:paraId="53D51F87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Exploring academic, vocational, and occupational training</w:t>
      </w:r>
    </w:p>
    <w:p w14:paraId="32276B5D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Career field research and comprehensive transition pathways</w:t>
      </w:r>
    </w:p>
    <w:p w14:paraId="2D4EA926" w14:textId="072F3AC0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Postsecondary Opportunities</w:t>
      </w:r>
    </w:p>
    <w:p w14:paraId="3DBBF2E4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Community colleges (AA/AS degrees, certificate programs)</w:t>
      </w:r>
    </w:p>
    <w:p w14:paraId="6E61F7BB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Universities (public and private)</w:t>
      </w:r>
    </w:p>
    <w:p w14:paraId="3F69B825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Training programs related to career pathways</w:t>
      </w:r>
    </w:p>
    <w:p w14:paraId="55CA3CFB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Trade/technical schools</w:t>
      </w:r>
    </w:p>
    <w:p w14:paraId="4A924558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Military options</w:t>
      </w:r>
    </w:p>
    <w:p w14:paraId="687B2AD7" w14:textId="31B97BAA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College/Vocational Training Applications</w:t>
      </w:r>
    </w:p>
    <w:p w14:paraId="58276D32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Understanding application processes</w:t>
      </w:r>
    </w:p>
    <w:p w14:paraId="7B94F100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Writing personal statements and essays</w:t>
      </w:r>
    </w:p>
    <w:p w14:paraId="1BEE850A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Gathering necessary documentation</w:t>
      </w:r>
    </w:p>
    <w:p w14:paraId="287283D0" w14:textId="050415C6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Financial Aid and FAFSA</w:t>
      </w:r>
    </w:p>
    <w:p w14:paraId="4C37785C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Overview of financial aid options</w:t>
      </w:r>
    </w:p>
    <w:p w14:paraId="07114B4D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Step-by-step guide to completing the FAFSA</w:t>
      </w:r>
    </w:p>
    <w:p w14:paraId="3D826F56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Scholarships and grants</w:t>
      </w:r>
    </w:p>
    <w:p w14:paraId="4FF61015" w14:textId="12C92A4C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Disability Support Services</w:t>
      </w:r>
    </w:p>
    <w:p w14:paraId="2DD3C74D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Overview of services available through OPWDD and OMH</w:t>
      </w:r>
    </w:p>
    <w:p w14:paraId="3091AE5D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How to connect with support services</w:t>
      </w:r>
    </w:p>
    <w:p w14:paraId="5FDAF402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Understanding rights and accommodations</w:t>
      </w:r>
    </w:p>
    <w:p w14:paraId="6DCFE2D7" w14:textId="0E372D9B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lastRenderedPageBreak/>
        <w:t>Postsecondary Programs for Students with Disabilities</w:t>
      </w:r>
    </w:p>
    <w:p w14:paraId="5B3E4472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Programs at community colleges and universities</w:t>
      </w:r>
    </w:p>
    <w:p w14:paraId="7ED4AA71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Specialized programs for students with intellectual and/or developmental disabilities</w:t>
      </w:r>
    </w:p>
    <w:p w14:paraId="3F9BB9DF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Identifying and accessing accommodations</w:t>
      </w:r>
    </w:p>
    <w:p w14:paraId="54366D90" w14:textId="4E5AB01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Technology Needs and Resources</w:t>
      </w:r>
    </w:p>
    <w:p w14:paraId="47160714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Identifying technology needs for postsecondary education</w:t>
      </w:r>
    </w:p>
    <w:p w14:paraId="331A54F8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Assistive technology options</w:t>
      </w:r>
    </w:p>
    <w:p w14:paraId="143A8B9B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Resources for obtaining technology</w:t>
      </w:r>
    </w:p>
    <w:p w14:paraId="250A8729" w14:textId="2471FE96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College Fairs and Tours</w:t>
      </w:r>
    </w:p>
    <w:p w14:paraId="1FEFFF2C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Importance of visiting campuses</w:t>
      </w:r>
    </w:p>
    <w:p w14:paraId="551CF534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How to prepare for college fairs</w:t>
      </w:r>
    </w:p>
    <w:p w14:paraId="52F7AAE6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Making the most of campus tours</w:t>
      </w:r>
    </w:p>
    <w:p w14:paraId="02641FB0" w14:textId="31675570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Individualized Student Strategies</w:t>
      </w:r>
    </w:p>
    <w:p w14:paraId="56204627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Developing personalized transition plans</w:t>
      </w:r>
    </w:p>
    <w:p w14:paraId="2F302E3F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Setting realistic goals and timelines</w:t>
      </w:r>
    </w:p>
    <w:p w14:paraId="666AFCD4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Strategies for academic success</w:t>
      </w:r>
    </w:p>
    <w:p w14:paraId="317237F8" w14:textId="74A716DC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Family Involvement and Support</w:t>
      </w:r>
    </w:p>
    <w:p w14:paraId="05D9EE9A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Role of family in transition planning</w:t>
      </w:r>
    </w:p>
    <w:p w14:paraId="14A344B1" w14:textId="77777777" w:rsidR="009F6EA8" w:rsidRPr="009F6EA8" w:rsidRDefault="009F6EA8" w:rsidP="00F45587">
      <w:pPr>
        <w:pStyle w:val="NoSpacing"/>
        <w:numPr>
          <w:ilvl w:val="0"/>
          <w:numId w:val="16"/>
        </w:numPr>
      </w:pPr>
      <w:r w:rsidRPr="009F6EA8">
        <w:t>Communicating with family members</w:t>
      </w:r>
    </w:p>
    <w:p w14:paraId="568EFD5C" w14:textId="77777777" w:rsidR="009F6EA8" w:rsidRDefault="009F6EA8" w:rsidP="00F45587">
      <w:pPr>
        <w:pStyle w:val="NoSpacing"/>
        <w:numPr>
          <w:ilvl w:val="0"/>
          <w:numId w:val="16"/>
        </w:numPr>
      </w:pPr>
      <w:r w:rsidRPr="009F6EA8">
        <w:t>Resources for family support</w:t>
      </w:r>
    </w:p>
    <w:p w14:paraId="3DD3F556" w14:textId="77777777" w:rsidR="00F45587" w:rsidRPr="009F6EA8" w:rsidRDefault="00F45587" w:rsidP="009F6EA8">
      <w:pPr>
        <w:pStyle w:val="NoSpacing"/>
      </w:pPr>
    </w:p>
    <w:p w14:paraId="61F77296" w14:textId="6CF3CB97" w:rsidR="00F45587" w:rsidRPr="00F45587" w:rsidRDefault="009F6EA8" w:rsidP="009F6EA8">
      <w:pPr>
        <w:pStyle w:val="NoSpacing"/>
        <w:rPr>
          <w:b/>
          <w:bCs/>
          <w:u w:val="single"/>
        </w:rPr>
      </w:pPr>
      <w:r w:rsidRPr="00F45587">
        <w:rPr>
          <w:b/>
          <w:bCs/>
          <w:u w:val="single"/>
        </w:rPr>
        <w:t>Review and Next Steps</w:t>
      </w:r>
      <w:r w:rsidR="00F45587">
        <w:rPr>
          <w:b/>
          <w:bCs/>
          <w:u w:val="single"/>
        </w:rPr>
        <w:t>:</w:t>
      </w:r>
    </w:p>
    <w:p w14:paraId="35483261" w14:textId="77777777" w:rsidR="009F6EA8" w:rsidRPr="009F6EA8" w:rsidRDefault="009F6EA8" w:rsidP="00F45587">
      <w:pPr>
        <w:pStyle w:val="NoSpacing"/>
        <w:numPr>
          <w:ilvl w:val="0"/>
          <w:numId w:val="17"/>
        </w:numPr>
      </w:pPr>
      <w:r w:rsidRPr="009F6EA8">
        <w:t>Reviewing key concepts and strategies</w:t>
      </w:r>
    </w:p>
    <w:p w14:paraId="2DC182AA" w14:textId="77777777" w:rsidR="009F6EA8" w:rsidRPr="009F6EA8" w:rsidRDefault="009F6EA8" w:rsidP="00F45587">
      <w:pPr>
        <w:pStyle w:val="NoSpacing"/>
        <w:numPr>
          <w:ilvl w:val="0"/>
          <w:numId w:val="17"/>
        </w:numPr>
      </w:pPr>
      <w:r w:rsidRPr="009F6EA8">
        <w:t>Finalizing transition plans</w:t>
      </w:r>
    </w:p>
    <w:p w14:paraId="73BE7BE9" w14:textId="77777777" w:rsidR="009F6EA8" w:rsidRDefault="009F6EA8" w:rsidP="00F45587">
      <w:pPr>
        <w:pStyle w:val="NoSpacing"/>
        <w:numPr>
          <w:ilvl w:val="0"/>
          <w:numId w:val="17"/>
        </w:numPr>
      </w:pPr>
      <w:r w:rsidRPr="009F6EA8">
        <w:t>Preparing for the next steps in the transition process</w:t>
      </w:r>
    </w:p>
    <w:p w14:paraId="0D778A9D" w14:textId="77777777" w:rsidR="009F6EA8" w:rsidRPr="009F6EA8" w:rsidRDefault="009F6EA8" w:rsidP="009F6EA8">
      <w:pPr>
        <w:pStyle w:val="NoSpacing"/>
      </w:pPr>
    </w:p>
    <w:p w14:paraId="6DA496C6" w14:textId="0F1C8085" w:rsidR="009F6EA8" w:rsidRPr="009F6EA8" w:rsidRDefault="009F6EA8" w:rsidP="009F6EA8">
      <w:pPr>
        <w:pStyle w:val="NoSpacing"/>
        <w:rPr>
          <w:b/>
          <w:bCs/>
          <w:u w:val="single"/>
        </w:rPr>
      </w:pPr>
      <w:r w:rsidRPr="009F6EA8">
        <w:rPr>
          <w:b/>
          <w:bCs/>
          <w:u w:val="single"/>
        </w:rPr>
        <w:t>Activities:</w:t>
      </w:r>
    </w:p>
    <w:p w14:paraId="4E4C578D" w14:textId="77777777" w:rsidR="009F6EA8" w:rsidRPr="009F6EA8" w:rsidRDefault="009F6EA8" w:rsidP="00F45587">
      <w:pPr>
        <w:pStyle w:val="NoSpacing"/>
        <w:numPr>
          <w:ilvl w:val="0"/>
          <w:numId w:val="18"/>
        </w:numPr>
      </w:pPr>
      <w:r w:rsidRPr="009F6EA8">
        <w:t>Application and financial aid practice exercises</w:t>
      </w:r>
    </w:p>
    <w:p w14:paraId="61C7A02D" w14:textId="681CBA41" w:rsidR="009F6EA8" w:rsidRPr="009F6EA8" w:rsidRDefault="009F6EA8" w:rsidP="00F45587">
      <w:pPr>
        <w:pStyle w:val="NoSpacing"/>
        <w:numPr>
          <w:ilvl w:val="0"/>
          <w:numId w:val="18"/>
        </w:numPr>
      </w:pPr>
      <w:r w:rsidRPr="009F6EA8">
        <w:t>Participation in discussions and activities</w:t>
      </w:r>
    </w:p>
    <w:p w14:paraId="4258C407" w14:textId="7DB08A5A" w:rsidR="009F6EA8" w:rsidRPr="009F6EA8" w:rsidRDefault="009F6EA8" w:rsidP="00F45587">
      <w:pPr>
        <w:pStyle w:val="NoSpacing"/>
        <w:numPr>
          <w:ilvl w:val="0"/>
          <w:numId w:val="18"/>
        </w:numPr>
      </w:pPr>
      <w:r w:rsidRPr="009F6EA8">
        <w:t>Final</w:t>
      </w:r>
      <w:r w:rsidR="00F45587">
        <w:t>izing</w:t>
      </w:r>
      <w:r w:rsidRPr="009F6EA8">
        <w:t xml:space="preserve"> transition plan</w:t>
      </w:r>
      <w:r>
        <w:t>s</w:t>
      </w:r>
    </w:p>
    <w:p w14:paraId="2470E8EE" w14:textId="34BD3152" w:rsidR="0053329A" w:rsidRDefault="0053329A" w:rsidP="009F6EA8"/>
    <w:sectPr w:rsidR="0053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1FF"/>
    <w:multiLevelType w:val="hybridMultilevel"/>
    <w:tmpl w:val="264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9BB"/>
    <w:multiLevelType w:val="multilevel"/>
    <w:tmpl w:val="AC0A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B78A0"/>
    <w:multiLevelType w:val="multilevel"/>
    <w:tmpl w:val="E7A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527C0"/>
    <w:multiLevelType w:val="multilevel"/>
    <w:tmpl w:val="580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34EB7"/>
    <w:multiLevelType w:val="multilevel"/>
    <w:tmpl w:val="F3F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4597A"/>
    <w:multiLevelType w:val="multilevel"/>
    <w:tmpl w:val="D00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23C90"/>
    <w:multiLevelType w:val="multilevel"/>
    <w:tmpl w:val="49D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F0260"/>
    <w:multiLevelType w:val="multilevel"/>
    <w:tmpl w:val="BA8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30C96"/>
    <w:multiLevelType w:val="hybridMultilevel"/>
    <w:tmpl w:val="104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4673"/>
    <w:multiLevelType w:val="multilevel"/>
    <w:tmpl w:val="B89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63009"/>
    <w:multiLevelType w:val="multilevel"/>
    <w:tmpl w:val="2E8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6625D"/>
    <w:multiLevelType w:val="hybridMultilevel"/>
    <w:tmpl w:val="8744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73BF5"/>
    <w:multiLevelType w:val="multilevel"/>
    <w:tmpl w:val="F1E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E5B2E"/>
    <w:multiLevelType w:val="multilevel"/>
    <w:tmpl w:val="79B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F15F2"/>
    <w:multiLevelType w:val="multilevel"/>
    <w:tmpl w:val="37A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F49FD"/>
    <w:multiLevelType w:val="multilevel"/>
    <w:tmpl w:val="549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72BAC"/>
    <w:multiLevelType w:val="multilevel"/>
    <w:tmpl w:val="299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B5AB2"/>
    <w:multiLevelType w:val="hybridMultilevel"/>
    <w:tmpl w:val="5A1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87779">
    <w:abstractNumId w:val="15"/>
  </w:num>
  <w:num w:numId="2" w16cid:durableId="1034883423">
    <w:abstractNumId w:val="2"/>
  </w:num>
  <w:num w:numId="3" w16cid:durableId="1580360335">
    <w:abstractNumId w:val="6"/>
  </w:num>
  <w:num w:numId="4" w16cid:durableId="145826688">
    <w:abstractNumId w:val="13"/>
  </w:num>
  <w:num w:numId="5" w16cid:durableId="1875118026">
    <w:abstractNumId w:val="9"/>
  </w:num>
  <w:num w:numId="6" w16cid:durableId="396246360">
    <w:abstractNumId w:val="3"/>
  </w:num>
  <w:num w:numId="7" w16cid:durableId="2125341054">
    <w:abstractNumId w:val="1"/>
  </w:num>
  <w:num w:numId="8" w16cid:durableId="1831407183">
    <w:abstractNumId w:val="4"/>
  </w:num>
  <w:num w:numId="9" w16cid:durableId="373391284">
    <w:abstractNumId w:val="5"/>
  </w:num>
  <w:num w:numId="10" w16cid:durableId="2136408645">
    <w:abstractNumId w:val="14"/>
  </w:num>
  <w:num w:numId="11" w16cid:durableId="988633278">
    <w:abstractNumId w:val="12"/>
  </w:num>
  <w:num w:numId="12" w16cid:durableId="1008216092">
    <w:abstractNumId w:val="10"/>
  </w:num>
  <w:num w:numId="13" w16cid:durableId="2132167835">
    <w:abstractNumId w:val="16"/>
  </w:num>
  <w:num w:numId="14" w16cid:durableId="1323585337">
    <w:abstractNumId w:val="7"/>
  </w:num>
  <w:num w:numId="15" w16cid:durableId="1175531996">
    <w:abstractNumId w:val="0"/>
  </w:num>
  <w:num w:numId="16" w16cid:durableId="696200281">
    <w:abstractNumId w:val="8"/>
  </w:num>
  <w:num w:numId="17" w16cid:durableId="1495536528">
    <w:abstractNumId w:val="11"/>
  </w:num>
  <w:num w:numId="18" w16cid:durableId="11736481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FA"/>
    <w:rsid w:val="00187418"/>
    <w:rsid w:val="003842F2"/>
    <w:rsid w:val="00466553"/>
    <w:rsid w:val="0053329A"/>
    <w:rsid w:val="00601012"/>
    <w:rsid w:val="009F6EA8"/>
    <w:rsid w:val="00C23CFA"/>
    <w:rsid w:val="00C56033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27BC"/>
  <w15:chartTrackingRefBased/>
  <w15:docId w15:val="{6B0D9A0E-B3FB-4802-AFDA-B11F1962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C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6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Decker</dc:creator>
  <cp:keywords/>
  <dc:description/>
  <cp:lastModifiedBy>Tracy Decker</cp:lastModifiedBy>
  <cp:revision>5</cp:revision>
  <dcterms:created xsi:type="dcterms:W3CDTF">2025-01-23T16:36:00Z</dcterms:created>
  <dcterms:modified xsi:type="dcterms:W3CDTF">2025-01-23T17:31:00Z</dcterms:modified>
</cp:coreProperties>
</file>